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545C2" w14:textId="0B67C2F5" w:rsidR="003F04C9" w:rsidRDefault="00663F75" w:rsidP="0033583B">
      <w:pPr>
        <w:jc w:val="center"/>
        <w:rPr>
          <w:b/>
        </w:rPr>
      </w:pPr>
      <w:r w:rsidRPr="00F76DDB">
        <w:rPr>
          <w:noProof/>
        </w:rPr>
        <w:drawing>
          <wp:anchor distT="0" distB="0" distL="114300" distR="114300" simplePos="0" relativeHeight="251658240" behindDoc="0" locked="0" layoutInCell="1" allowOverlap="1" wp14:anchorId="7BC0425C" wp14:editId="07779108">
            <wp:simplePos x="0" y="0"/>
            <wp:positionH relativeFrom="margin">
              <wp:posOffset>-60960</wp:posOffset>
            </wp:positionH>
            <wp:positionV relativeFrom="paragraph">
              <wp:posOffset>289560</wp:posOffset>
            </wp:positionV>
            <wp:extent cx="2895600" cy="1967230"/>
            <wp:effectExtent l="0" t="0" r="0" b="0"/>
            <wp:wrapThrough wrapText="bothSides">
              <wp:wrapPolygon edited="0">
                <wp:start x="0" y="0"/>
                <wp:lineTo x="0" y="21335"/>
                <wp:lineTo x="21458" y="21335"/>
                <wp:lineTo x="214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00D">
        <w:rPr>
          <w:b/>
        </w:rPr>
        <w:t xml:space="preserve">Sports Capital </w:t>
      </w:r>
      <w:r w:rsidR="00AF2090">
        <w:rPr>
          <w:b/>
        </w:rPr>
        <w:t>2018</w:t>
      </w:r>
      <w:r w:rsidR="00AB5F73">
        <w:rPr>
          <w:b/>
        </w:rPr>
        <w:t xml:space="preserve">: </w:t>
      </w:r>
      <w:r w:rsidR="00A36D6C">
        <w:rPr>
          <w:b/>
        </w:rPr>
        <w:t xml:space="preserve">Mapping </w:t>
      </w:r>
      <w:r w:rsidR="00AB5F73">
        <w:rPr>
          <w:b/>
        </w:rPr>
        <w:t xml:space="preserve">Per Capita </w:t>
      </w:r>
      <w:r w:rsidR="002F5144">
        <w:rPr>
          <w:b/>
        </w:rPr>
        <w:t>Trends</w:t>
      </w:r>
      <w:r w:rsidR="00331378">
        <w:rPr>
          <w:b/>
        </w:rPr>
        <w:t xml:space="preserve"> </w:t>
      </w:r>
      <w:r w:rsidR="00C0727D">
        <w:rPr>
          <w:b/>
        </w:rPr>
        <w:t>by County</w:t>
      </w:r>
    </w:p>
    <w:p w14:paraId="05AEDA62" w14:textId="3823CF68" w:rsidR="000C39F4" w:rsidRDefault="003F6B71" w:rsidP="007A6148">
      <w:pPr>
        <w:jc w:val="both"/>
      </w:pPr>
      <w:r>
        <w:t xml:space="preserve">All of Ireland </w:t>
      </w:r>
      <w:r w:rsidR="00C23135">
        <w:t>now looks to topple Dublin’s dominance in football</w:t>
      </w:r>
      <w:r w:rsidR="00966A88">
        <w:t xml:space="preserve">. Like football, securing </w:t>
      </w:r>
      <w:r w:rsidR="00876129">
        <w:t xml:space="preserve">sports funding </w:t>
      </w:r>
      <w:r w:rsidR="00F275A2">
        <w:t>is</w:t>
      </w:r>
      <w:r w:rsidR="00876129">
        <w:t xml:space="preserve"> a</w:t>
      </w:r>
      <w:r w:rsidR="00F275A2">
        <w:t>nother</w:t>
      </w:r>
      <w:r w:rsidR="00876129">
        <w:t xml:space="preserve"> competition</w:t>
      </w:r>
      <w:r w:rsidR="00F56C05">
        <w:t xml:space="preserve"> -</w:t>
      </w:r>
      <w:r w:rsidR="00876129">
        <w:t xml:space="preserve"> it’s every county for itself. </w:t>
      </w:r>
      <w:r w:rsidR="0033583B">
        <w:t xml:space="preserve">Over a weekend period </w:t>
      </w:r>
      <w:r w:rsidR="00327535">
        <w:t>last</w:t>
      </w:r>
      <w:r w:rsidR="0033583B">
        <w:t xml:space="preserve"> May, word began to </w:t>
      </w:r>
      <w:r w:rsidR="00363EE3">
        <w:t>spread</w:t>
      </w:r>
      <w:r w:rsidR="0033583B">
        <w:t xml:space="preserve"> about a Sports Capital Equipment</w:t>
      </w:r>
      <w:r w:rsidR="00AF2090">
        <w:t>-Only</w:t>
      </w:r>
      <w:r w:rsidR="0033583B">
        <w:t xml:space="preserve"> announcement</w:t>
      </w:r>
      <w:r w:rsidR="00670E4D">
        <w:t>,</w:t>
      </w:r>
      <w:r w:rsidR="0033583B">
        <w:t xml:space="preserve"> </w:t>
      </w:r>
      <w:r w:rsidR="00670E4D">
        <w:t>which</w:t>
      </w:r>
      <w:r w:rsidR="00A10222">
        <w:t xml:space="preserve"> came as no surprise </w:t>
      </w:r>
      <w:r w:rsidR="00AF2090">
        <w:t>on a</w:t>
      </w:r>
      <w:r w:rsidR="00A10222">
        <w:t xml:space="preserve"> week heading into European and local el</w:t>
      </w:r>
      <w:bookmarkStart w:id="0" w:name="_GoBack"/>
      <w:bookmarkEnd w:id="0"/>
      <w:r w:rsidR="00A10222">
        <w:t xml:space="preserve">ections. </w:t>
      </w:r>
    </w:p>
    <w:p w14:paraId="6E9A0D2E" w14:textId="41E50C12" w:rsidR="00331378" w:rsidRDefault="0033583B" w:rsidP="007A6148">
      <w:pPr>
        <w:jc w:val="both"/>
      </w:pPr>
      <w:r>
        <w:t xml:space="preserve">Many </w:t>
      </w:r>
      <w:r w:rsidR="000C39F4">
        <w:t xml:space="preserve">rural </w:t>
      </w:r>
      <w:r>
        <w:t>clubs and community group</w:t>
      </w:r>
      <w:r w:rsidR="00A10222">
        <w:t>s</w:t>
      </w:r>
      <w:r>
        <w:t xml:space="preserve"> were the first to hear of their success. </w:t>
      </w:r>
      <w:r w:rsidR="00EA35BA">
        <w:t>Ireland is</w:t>
      </w:r>
      <w:r w:rsidR="00A10222">
        <w:t xml:space="preserve"> often</w:t>
      </w:r>
      <w:r w:rsidR="00EA35BA">
        <w:t xml:space="preserve"> a country </w:t>
      </w:r>
      <w:r w:rsidR="000E3E80">
        <w:t>of</w:t>
      </w:r>
      <w:r w:rsidR="00EA35BA">
        <w:t xml:space="preserve"> urban-rural divide</w:t>
      </w:r>
      <w:r w:rsidR="000C39F4">
        <w:t>;</w:t>
      </w:r>
      <w:r w:rsidR="00EA35BA">
        <w:t xml:space="preserve"> </w:t>
      </w:r>
      <w:r w:rsidR="005A20F0">
        <w:t xml:space="preserve">rural areas often feel like they are overlooked </w:t>
      </w:r>
      <w:r w:rsidR="002607DB">
        <w:t xml:space="preserve">with </w:t>
      </w:r>
      <w:r w:rsidR="00BC3732">
        <w:t xml:space="preserve">perceived </w:t>
      </w:r>
      <w:r w:rsidR="002607DB">
        <w:t xml:space="preserve">preference often given to Dublin. </w:t>
      </w:r>
      <w:r w:rsidR="00FA3B17">
        <w:t>However, when it comes to the Sports Capital programme, this is not the case.</w:t>
      </w:r>
    </w:p>
    <w:p w14:paraId="13475276" w14:textId="714EC668" w:rsidR="003F4B05" w:rsidRDefault="005C3CAB" w:rsidP="003F4B0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547F2" wp14:editId="14EC3996">
                <wp:simplePos x="0" y="0"/>
                <wp:positionH relativeFrom="column">
                  <wp:posOffset>-152400</wp:posOffset>
                </wp:positionH>
                <wp:positionV relativeFrom="paragraph">
                  <wp:posOffset>4404995</wp:posOffset>
                </wp:positionV>
                <wp:extent cx="610552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D5BDBB" w14:textId="7D4E5512" w:rsidR="005C3CAB" w:rsidRPr="006B6E32" w:rsidRDefault="00EB7DAC" w:rsidP="005C3CAB">
                            <w:pPr>
                              <w:pStyle w:val="Caption"/>
                              <w:rPr>
                                <w:i w:val="0"/>
                                <w:iCs w:val="0"/>
                                <w:noProof/>
                                <w:color w:val="auto"/>
                              </w:rPr>
                            </w:pPr>
                            <w:r w:rsidRPr="006B6E32">
                              <w:rPr>
                                <w:i w:val="0"/>
                                <w:iCs w:val="0"/>
                                <w:color w:val="auto"/>
                              </w:rPr>
                              <w:t>“Sports Capital Equipment-Only A</w:t>
                            </w:r>
                            <w:r w:rsidR="00756826">
                              <w:rPr>
                                <w:i w:val="0"/>
                                <w:iCs w:val="0"/>
                                <w:color w:val="auto"/>
                              </w:rPr>
                              <w:t>llocation</w:t>
                            </w:r>
                            <w:r w:rsidRPr="006B6E32">
                              <w:rPr>
                                <w:i w:val="0"/>
                                <w:iCs w:val="0"/>
                                <w:color w:val="auto"/>
                              </w:rPr>
                              <w:t>s,” Department of Transport, Tourism and Sport</w:t>
                            </w:r>
                            <w:r w:rsidR="00947BEE" w:rsidRPr="006B6E32">
                              <w:rPr>
                                <w:i w:val="0"/>
                                <w:iCs w:val="0"/>
                                <w:color w:val="auto"/>
                              </w:rPr>
                              <w:t>; “Census 2016,” Central Statistics Office,</w:t>
                            </w:r>
                            <w:r w:rsidRPr="006B6E32">
                              <w:rPr>
                                <w:i w:val="0"/>
                                <w:iCs w:val="0"/>
                                <w:color w:val="auto"/>
                              </w:rPr>
                              <w:t xml:space="preserve"> 2into3 Analysis</w:t>
                            </w:r>
                            <w:r w:rsidR="00947BEE" w:rsidRPr="006B6E32">
                              <w:rPr>
                                <w:i w:val="0"/>
                                <w:iCs w:val="0"/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B547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346.85pt;width:480.7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hKKwIAAF0EAAAOAAAAZHJzL2Uyb0RvYy54bWysVE1vGjEQvVfqf7B8L8uHQBViiSgRVSWU&#10;RApRzsbrZS3ZHnds2KW/vuP9IG3aU9WLGc+Mn/e9N2Z111jDLgqDBpfzyWjMmXISCu1OOX857D59&#10;5ixE4QphwKmcX1Xgd+uPH1a1X6opVGAKhYxAXFjWPudVjH6ZZUFWyoowAq8cFUtAKyJt8ZQVKGpC&#10;tyabjseLrAYsPIJUIVD2vivydYtflkrGx7IMKjKTc/q22K7Yrse0ZuuVWJ5Q+ErL/jPEP3yFFdrR&#10;pTeoexEFO6P+A8pqiRCgjCMJNoOy1FK1HIjNZPyOzXMlvGq5kDjB32QK/w9WPlyekOki5zPOnLBk&#10;0UE1kX2Bhs2SOrUPS2p69tQWG0qTy0M+UDKRbkq06ZfoMKqTztebtglMUnIxGc/n0zlnkmqL2Txh&#10;ZG9HPYb4VYFlKcg5knGtnuKyD7FrHVrSTQGMLnbamLRJha1BdhFkcl3pqHrw37qMS70O0qkOMGWy&#10;xK/jkaLYHJue9BGKK3FG6GYmeLnTdNFehPgkkIaEaNLgx0daSgN1zqGPOKsAf/wtn/rJO6pyVtPQ&#10;5Tx8PwtUnJlvjlxNEzoEOATHIXBnuwWiOKEn5WUb0gGMZghLBPtK72GTbqGScJLuynkcwm3sRp/e&#10;k1SbTdtEc+hF3LtnLxP0IOiheRXoezsiufgAwziK5TtXut7WF785R5K4tSwJ2qnY60wz3Jrev7f0&#10;SH7dt11v/wrrnwAAAP//AwBQSwMEFAAGAAgAAAAhAG5e94/iAAAACwEAAA8AAABkcnMvZG93bnJl&#10;di54bWxMjzFPwzAQhXck/oN1SCyodWhDWkKcqqpgoEtF2oXNjd04EJ8j22nDv+dggel0957efa9Y&#10;jbZjZ+1D61DA/TQBprF2qsVGwGH/MlkCC1Gikp1DLeBLB1iV11eFzJW74Js+V7FhFIIhlwJMjH3O&#10;eaiNtjJMXa+RtJPzVkZafcOVlxcKtx2fJUnGrWyRPhjZ643R9Wc1WAG79H1n7obT83adzv3rYdhk&#10;H00lxO3NuH4CFvUY/8zwg0/oUBLT0Q2oAusETGYpdYkCssf5Ahg5aD4AO/5elsDLgv/vUH4DAAD/&#10;/wMAUEsBAi0AFAAGAAgAAAAhALaDOJL+AAAA4QEAABMAAAAAAAAAAAAAAAAAAAAAAFtDb250ZW50&#10;X1R5cGVzXS54bWxQSwECLQAUAAYACAAAACEAOP0h/9YAAACUAQAACwAAAAAAAAAAAAAAAAAvAQAA&#10;X3JlbHMvLnJlbHNQSwECLQAUAAYACAAAACEAQrQoSisCAABdBAAADgAAAAAAAAAAAAAAAAAuAgAA&#10;ZHJzL2Uyb0RvYy54bWxQSwECLQAUAAYACAAAACEAbl73j+IAAAALAQAADwAAAAAAAAAAAAAAAACF&#10;BAAAZHJzL2Rvd25yZXYueG1sUEsFBgAAAAAEAAQA8wAAAJQFAAAAAA==&#10;" stroked="f">
                <v:textbox style="mso-fit-shape-to-text:t" inset="0,0,0,0">
                  <w:txbxContent>
                    <w:p w14:paraId="22D5BDBB" w14:textId="7D4E5512" w:rsidR="005C3CAB" w:rsidRPr="006B6E32" w:rsidRDefault="00EB7DAC" w:rsidP="005C3CAB">
                      <w:pPr>
                        <w:pStyle w:val="Caption"/>
                        <w:rPr>
                          <w:i w:val="0"/>
                          <w:iCs w:val="0"/>
                          <w:noProof/>
                          <w:color w:val="auto"/>
                        </w:rPr>
                      </w:pPr>
                      <w:r w:rsidRPr="006B6E32">
                        <w:rPr>
                          <w:i w:val="0"/>
                          <w:iCs w:val="0"/>
                          <w:color w:val="auto"/>
                        </w:rPr>
                        <w:t>“Sports Capital Equipment-Only A</w:t>
                      </w:r>
                      <w:r w:rsidR="00756826">
                        <w:rPr>
                          <w:i w:val="0"/>
                          <w:iCs w:val="0"/>
                          <w:color w:val="auto"/>
                        </w:rPr>
                        <w:t>llocation</w:t>
                      </w:r>
                      <w:r w:rsidRPr="006B6E32">
                        <w:rPr>
                          <w:i w:val="0"/>
                          <w:iCs w:val="0"/>
                          <w:color w:val="auto"/>
                        </w:rPr>
                        <w:t>s,” Department of Transport, Tourism and Sport</w:t>
                      </w:r>
                      <w:r w:rsidR="00947BEE" w:rsidRPr="006B6E32">
                        <w:rPr>
                          <w:i w:val="0"/>
                          <w:iCs w:val="0"/>
                          <w:color w:val="auto"/>
                        </w:rPr>
                        <w:t>; “Census 2016,” Central Statistics Office,</w:t>
                      </w:r>
                      <w:r w:rsidRPr="006B6E32">
                        <w:rPr>
                          <w:i w:val="0"/>
                          <w:iCs w:val="0"/>
                          <w:color w:val="auto"/>
                        </w:rPr>
                        <w:t xml:space="preserve"> 2into3 Analysis</w:t>
                      </w:r>
                      <w:r w:rsidR="00947BEE" w:rsidRPr="006B6E32">
                        <w:rPr>
                          <w:i w:val="0"/>
                          <w:iCs w:val="0"/>
                          <w:color w:val="auto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10059">
        <w:rPr>
          <w:noProof/>
        </w:rPr>
        <w:drawing>
          <wp:anchor distT="0" distB="0" distL="114300" distR="114300" simplePos="0" relativeHeight="251660288" behindDoc="0" locked="0" layoutInCell="1" allowOverlap="1" wp14:anchorId="43E1258F" wp14:editId="0B156843">
            <wp:simplePos x="0" y="0"/>
            <wp:positionH relativeFrom="margin">
              <wp:posOffset>-152400</wp:posOffset>
            </wp:positionH>
            <wp:positionV relativeFrom="paragraph">
              <wp:posOffset>1604645</wp:posOffset>
            </wp:positionV>
            <wp:extent cx="6105525" cy="2743200"/>
            <wp:effectExtent l="0" t="0" r="9525" b="0"/>
            <wp:wrapThrough wrapText="bothSides">
              <wp:wrapPolygon edited="0">
                <wp:start x="0" y="0"/>
                <wp:lineTo x="0" y="21450"/>
                <wp:lineTo x="21566" y="21450"/>
                <wp:lineTo x="21566" y="0"/>
                <wp:lineTo x="0" y="0"/>
              </wp:wrapPolygon>
            </wp:wrapThrough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2A60A14-3C6C-482C-9C30-494E1048AA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</wp:anchor>
        </w:drawing>
      </w:r>
      <w:r w:rsidR="00935F3B">
        <w:t>A</w:t>
      </w:r>
      <w:r w:rsidR="00331378">
        <w:t xml:space="preserve">llocation of </w:t>
      </w:r>
      <w:r w:rsidR="00935F3B">
        <w:t xml:space="preserve">2018 </w:t>
      </w:r>
      <w:r w:rsidR="00331378">
        <w:t xml:space="preserve">funding </w:t>
      </w:r>
      <w:r w:rsidR="00935F3B">
        <w:t>has been divided</w:t>
      </w:r>
      <w:r w:rsidR="00331378">
        <w:t>, for the first time, in</w:t>
      </w:r>
      <w:r w:rsidR="009B1C9D">
        <w:t>to</w:t>
      </w:r>
      <w:r w:rsidR="00331378">
        <w:t xml:space="preserve"> two tranches</w:t>
      </w:r>
      <w:r w:rsidR="00935F3B">
        <w:t>.</w:t>
      </w:r>
      <w:r w:rsidR="00331378">
        <w:t xml:space="preserve"> </w:t>
      </w:r>
      <w:r w:rsidR="00935F3B">
        <w:t>A</w:t>
      </w:r>
      <w:r w:rsidR="00331378">
        <w:t xml:space="preserve">pplications </w:t>
      </w:r>
      <w:r w:rsidR="006E16B4">
        <w:t>for only equipment</w:t>
      </w:r>
      <w:r w:rsidR="009B1C9D">
        <w:t>-only</w:t>
      </w:r>
      <w:r w:rsidR="006E16B4">
        <w:t xml:space="preserve"> were assessed and allocated first, with an announcement made last May.</w:t>
      </w:r>
      <w:r w:rsidR="00331378">
        <w:t xml:space="preserve"> </w:t>
      </w:r>
      <w:r w:rsidR="006E16B4">
        <w:t>T</w:t>
      </w:r>
      <w:r w:rsidR="00331378">
        <w:t>hose</w:t>
      </w:r>
      <w:r w:rsidR="006E16B4">
        <w:t xml:space="preserve"> applications</w:t>
      </w:r>
      <w:r w:rsidR="00331378">
        <w:t xml:space="preserve"> for capital</w:t>
      </w:r>
      <w:r w:rsidR="006E16B4">
        <w:t xml:space="preserve"> (infrastructure),</w:t>
      </w:r>
      <w:r w:rsidR="00331378">
        <w:t xml:space="preserve"> or a combination of capital with equipment</w:t>
      </w:r>
      <w:r w:rsidR="006E16B4">
        <w:t>,</w:t>
      </w:r>
      <w:r w:rsidR="00331378">
        <w:t xml:space="preserve"> </w:t>
      </w:r>
      <w:r w:rsidR="006E16B4">
        <w:t xml:space="preserve">will be allocated in September </w:t>
      </w:r>
      <w:r w:rsidR="00331378">
        <w:t xml:space="preserve">according to recent public statements. In </w:t>
      </w:r>
      <w:r w:rsidR="00BE6E3C">
        <w:t xml:space="preserve">the </w:t>
      </w:r>
      <w:r w:rsidR="00F366E4">
        <w:t>recent May announcement,</w:t>
      </w:r>
      <w:r w:rsidR="00331378">
        <w:t xml:space="preserve"> only the top 75% (by score received under the </w:t>
      </w:r>
      <w:r w:rsidR="003F4B05">
        <w:t>(</w:t>
      </w:r>
      <w:r w:rsidR="00331378">
        <w:t>DTTAS</w:t>
      </w:r>
      <w:r w:rsidR="003F4B05">
        <w:t xml:space="preserve">) </w:t>
      </w:r>
      <w:r w:rsidR="00331378">
        <w:t>Department of Transport, Tourism and Sport</w:t>
      </w:r>
      <w:r w:rsidR="003D0B3F">
        <w:t xml:space="preserve"> guidelines</w:t>
      </w:r>
      <w:r w:rsidR="00331378">
        <w:t>)</w:t>
      </w:r>
      <w:r w:rsidR="003F4B05">
        <w:t xml:space="preserve"> of applications received funding</w:t>
      </w:r>
      <w:r w:rsidR="00F366E4">
        <w:t>,</w:t>
      </w:r>
      <w:r w:rsidR="003F4B05">
        <w:t xml:space="preserve"> whereas in 2017 round </w:t>
      </w:r>
      <w:r w:rsidR="00331378">
        <w:t>e</w:t>
      </w:r>
      <w:r w:rsidR="00832761">
        <w:t xml:space="preserve">very valid </w:t>
      </w:r>
      <w:r w:rsidR="003F4B05">
        <w:t xml:space="preserve">application </w:t>
      </w:r>
      <w:r w:rsidR="00832761">
        <w:t xml:space="preserve">received some funding. </w:t>
      </w:r>
      <w:r w:rsidR="003F4B05">
        <w:t xml:space="preserve">In </w:t>
      </w:r>
      <w:r w:rsidR="00457854">
        <w:t>addition,</w:t>
      </w:r>
      <w:r w:rsidR="003F4B05">
        <w:t xml:space="preserve"> the trend of allocating more funding, on a per capita basis, to areas outside Dublin was more pronounced</w:t>
      </w:r>
      <w:r w:rsidR="00F366E4">
        <w:t xml:space="preserve"> </w:t>
      </w:r>
      <w:r w:rsidR="003F4B05">
        <w:t xml:space="preserve">as illustrated in the table below. </w:t>
      </w:r>
    </w:p>
    <w:p w14:paraId="46E3ECE2" w14:textId="4C5B1273" w:rsidR="006E7BAD" w:rsidRDefault="00C2444F" w:rsidP="000169F0">
      <w:pPr>
        <w:jc w:val="both"/>
      </w:pPr>
      <w:r>
        <w:t>In recent years, the Sports Capital Programme</w:t>
      </w:r>
      <w:r w:rsidR="00457854">
        <w:t xml:space="preserve"> </w:t>
      </w:r>
      <w:r>
        <w:t xml:space="preserve">made headlines over political intervention and </w:t>
      </w:r>
      <w:r w:rsidR="00C104AE">
        <w:t xml:space="preserve">prioritisation of more </w:t>
      </w:r>
      <w:r w:rsidR="00677735">
        <w:t>favoured</w:t>
      </w:r>
      <w:r w:rsidR="00C104AE">
        <w:t xml:space="preserve"> sports in ministerial backyards</w:t>
      </w:r>
      <w:r w:rsidR="00424F6E">
        <w:t>, particularly in Dublin</w:t>
      </w:r>
      <w:r w:rsidR="00C104AE">
        <w:t xml:space="preserve">. </w:t>
      </w:r>
      <w:r w:rsidR="00677735">
        <w:t>However, a</w:t>
      </w:r>
      <w:r>
        <w:t>n</w:t>
      </w:r>
      <w:r w:rsidR="006E7BAD">
        <w:t xml:space="preserve"> </w:t>
      </w:r>
      <w:r w:rsidR="003147E3">
        <w:t>examination of the previous local rounds of the Sports Capital programme shows that Dublin consistently lag</w:t>
      </w:r>
      <w:r w:rsidR="00FF3A0A">
        <w:t>s</w:t>
      </w:r>
      <w:r w:rsidR="003147E3">
        <w:t xml:space="preserve"> behind </w:t>
      </w:r>
      <w:r w:rsidR="007C7F70">
        <w:t>the rest of the country</w:t>
      </w:r>
      <w:r w:rsidR="00523834">
        <w:t xml:space="preserve">, despite a plethora of cabinet ministers </w:t>
      </w:r>
      <w:r w:rsidR="00220C18">
        <w:t xml:space="preserve">(and a Taoiseach) </w:t>
      </w:r>
      <w:r w:rsidR="00523834">
        <w:t>in the greater Dublin area</w:t>
      </w:r>
      <w:r w:rsidR="00457854">
        <w:t xml:space="preserve">. With the 2018 equipment round the gap, on a per capita basis, between Dublin and the rest of Ireland has widened significantly. </w:t>
      </w:r>
    </w:p>
    <w:p w14:paraId="03B85104" w14:textId="77777777" w:rsidR="006B6E32" w:rsidRDefault="00B025C7" w:rsidP="006B6E32">
      <w:pPr>
        <w:keepNext/>
        <w:jc w:val="both"/>
      </w:pPr>
      <w:r>
        <w:rPr>
          <w:noProof/>
        </w:rPr>
        <w:lastRenderedPageBreak/>
        <w:drawing>
          <wp:inline distT="0" distB="0" distL="0" distR="0" wp14:anchorId="6D43F8C8" wp14:editId="6949E3E7">
            <wp:extent cx="5731510" cy="2592070"/>
            <wp:effectExtent l="0" t="0" r="2540" b="1778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3AF05807-11BF-47C8-9839-787F40DB99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15A6BCC" w14:textId="6BADC758" w:rsidR="00457854" w:rsidRPr="0055357D" w:rsidRDefault="0055357D" w:rsidP="006B6E32">
      <w:pPr>
        <w:pStyle w:val="Caption"/>
        <w:jc w:val="both"/>
        <w:rPr>
          <w:color w:val="auto"/>
        </w:rPr>
      </w:pPr>
      <w:r w:rsidRPr="0055357D">
        <w:rPr>
          <w:color w:val="auto"/>
        </w:rPr>
        <w:t xml:space="preserve">“Sports Capital </w:t>
      </w:r>
      <w:r w:rsidR="0092511B">
        <w:rPr>
          <w:color w:val="auto"/>
        </w:rPr>
        <w:t xml:space="preserve">Local </w:t>
      </w:r>
      <w:r w:rsidRPr="0055357D">
        <w:rPr>
          <w:color w:val="auto"/>
        </w:rPr>
        <w:t>Allocations 2018-2014,” Department of Transport, Tourism and Sport; “Census 2016,</w:t>
      </w:r>
      <w:r w:rsidR="00D206DF">
        <w:rPr>
          <w:color w:val="auto"/>
        </w:rPr>
        <w:t xml:space="preserve"> </w:t>
      </w:r>
      <w:r w:rsidRPr="0055357D">
        <w:rPr>
          <w:color w:val="auto"/>
        </w:rPr>
        <w:t>Census 2011,” Central Statistics Office, 2into3 Analysis.</w:t>
      </w:r>
    </w:p>
    <w:p w14:paraId="262185FA" w14:textId="6C654317" w:rsidR="0033583B" w:rsidRDefault="0051559B" w:rsidP="007C7F70">
      <w:pPr>
        <w:jc w:val="both"/>
      </w:pPr>
      <w:r>
        <w:t>Dublin clubs</w:t>
      </w:r>
      <w:r w:rsidR="00C46B17">
        <w:t>, in total,</w:t>
      </w:r>
      <w:r>
        <w:t xml:space="preserve"> sought over €19.6 million </w:t>
      </w:r>
      <w:r w:rsidR="00F7775A">
        <w:t xml:space="preserve">from the local fund of the </w:t>
      </w:r>
      <w:r w:rsidR="00C46B17">
        <w:t xml:space="preserve">2018 </w:t>
      </w:r>
      <w:r w:rsidR="00F7775A">
        <w:t>Sports Capital Programme.</w:t>
      </w:r>
      <w:r w:rsidR="00442D0E">
        <w:t xml:space="preserve"> </w:t>
      </w:r>
      <w:r w:rsidR="006B2D97">
        <w:t>Outstanding</w:t>
      </w:r>
      <w:r w:rsidR="00A13C32">
        <w:t xml:space="preserve"> 2018 applications are expected to be announced in September, with a new round </w:t>
      </w:r>
      <w:r w:rsidR="009F4ECA">
        <w:t>expected to open in November. I</w:t>
      </w:r>
      <w:r w:rsidR="00895E4D">
        <w:t xml:space="preserve">t will be interesting to see if </w:t>
      </w:r>
      <w:r w:rsidR="00F7775A">
        <w:t>some rebalancing of the allocations will occur</w:t>
      </w:r>
      <w:r w:rsidR="00151A30">
        <w:t xml:space="preserve"> and if Dublin can bag a few goals of their own</w:t>
      </w:r>
      <w:r w:rsidR="00F7775A">
        <w:t>.</w:t>
      </w:r>
    </w:p>
    <w:p w14:paraId="2FE6993B" w14:textId="734485F2" w:rsidR="00D52541" w:rsidRDefault="00D52541" w:rsidP="00D52541">
      <w:pPr>
        <w:ind w:left="2977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8F4C0C1" wp14:editId="26D392D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623060" cy="1248410"/>
            <wp:effectExtent l="0" t="0" r="0" b="8890"/>
            <wp:wrapThrough wrapText="bothSides">
              <wp:wrapPolygon edited="0">
                <wp:start x="7606" y="0"/>
                <wp:lineTo x="5577" y="659"/>
                <wp:lineTo x="761" y="4285"/>
                <wp:lineTo x="0" y="7910"/>
                <wp:lineTo x="0" y="13184"/>
                <wp:lineTo x="507" y="16810"/>
                <wp:lineTo x="5577" y="21095"/>
                <wp:lineTo x="7606" y="21424"/>
                <wp:lineTo x="13690" y="21424"/>
                <wp:lineTo x="15972" y="21095"/>
                <wp:lineTo x="20789" y="16810"/>
                <wp:lineTo x="21296" y="13514"/>
                <wp:lineTo x="21296" y="7581"/>
                <wp:lineTo x="20789" y="4285"/>
                <wp:lineTo x="15972" y="659"/>
                <wp:lineTo x="13690" y="0"/>
                <wp:lineTo x="7606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CFA4D" w14:textId="2F693C8C" w:rsidR="0039425C" w:rsidRPr="007C7F70" w:rsidRDefault="0039425C" w:rsidP="00D52541">
      <w:pPr>
        <w:ind w:left="2977"/>
        <w:jc w:val="both"/>
      </w:pPr>
      <w:r>
        <w:t xml:space="preserve">Darren McMahon is a Consultant at 2into3, specialising in Sports Capital Consulting and Masterclasses. For more information, please contact Darren at </w:t>
      </w:r>
      <w:hyperlink r:id="rId8" w:history="1">
        <w:r w:rsidRPr="00E61E63">
          <w:rPr>
            <w:rStyle w:val="Hyperlink"/>
          </w:rPr>
          <w:t>Darren.McMahon@2into3</w:t>
        </w:r>
      </w:hyperlink>
      <w:r>
        <w:t xml:space="preserve"> or +353-1-234-3127.</w:t>
      </w:r>
    </w:p>
    <w:sectPr w:rsidR="0039425C" w:rsidRPr="007C7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3B"/>
    <w:rsid w:val="000169F0"/>
    <w:rsid w:val="000406F7"/>
    <w:rsid w:val="00046A28"/>
    <w:rsid w:val="00056200"/>
    <w:rsid w:val="00093530"/>
    <w:rsid w:val="000A63AC"/>
    <w:rsid w:val="000B4BFC"/>
    <w:rsid w:val="000C232E"/>
    <w:rsid w:val="000C39F4"/>
    <w:rsid w:val="000E3E80"/>
    <w:rsid w:val="001032FE"/>
    <w:rsid w:val="001116AA"/>
    <w:rsid w:val="0012110A"/>
    <w:rsid w:val="00124052"/>
    <w:rsid w:val="001307F3"/>
    <w:rsid w:val="0013556E"/>
    <w:rsid w:val="00142AF9"/>
    <w:rsid w:val="00143BFE"/>
    <w:rsid w:val="00151A30"/>
    <w:rsid w:val="00185C0C"/>
    <w:rsid w:val="001B3790"/>
    <w:rsid w:val="001B5DA7"/>
    <w:rsid w:val="001C3A79"/>
    <w:rsid w:val="00204965"/>
    <w:rsid w:val="00211ED4"/>
    <w:rsid w:val="00220C18"/>
    <w:rsid w:val="002527E8"/>
    <w:rsid w:val="002607DB"/>
    <w:rsid w:val="00270418"/>
    <w:rsid w:val="0028228C"/>
    <w:rsid w:val="002925A7"/>
    <w:rsid w:val="002D5A36"/>
    <w:rsid w:val="002F5144"/>
    <w:rsid w:val="0030786A"/>
    <w:rsid w:val="003147E3"/>
    <w:rsid w:val="00327535"/>
    <w:rsid w:val="00331378"/>
    <w:rsid w:val="0033583B"/>
    <w:rsid w:val="00360B66"/>
    <w:rsid w:val="003611E2"/>
    <w:rsid w:val="00363EE3"/>
    <w:rsid w:val="00366AE7"/>
    <w:rsid w:val="00376727"/>
    <w:rsid w:val="0039425C"/>
    <w:rsid w:val="003957F5"/>
    <w:rsid w:val="003D0B3F"/>
    <w:rsid w:val="003D1A95"/>
    <w:rsid w:val="003F04C9"/>
    <w:rsid w:val="003F4B05"/>
    <w:rsid w:val="003F4BAE"/>
    <w:rsid w:val="003F6B71"/>
    <w:rsid w:val="00424F6E"/>
    <w:rsid w:val="00431BCF"/>
    <w:rsid w:val="00442D0E"/>
    <w:rsid w:val="00444F1E"/>
    <w:rsid w:val="00447CF3"/>
    <w:rsid w:val="00457854"/>
    <w:rsid w:val="00486D19"/>
    <w:rsid w:val="00486D22"/>
    <w:rsid w:val="004C09D3"/>
    <w:rsid w:val="004C1FF9"/>
    <w:rsid w:val="0050100D"/>
    <w:rsid w:val="00501D34"/>
    <w:rsid w:val="0051559B"/>
    <w:rsid w:val="00523834"/>
    <w:rsid w:val="005308D4"/>
    <w:rsid w:val="0053282F"/>
    <w:rsid w:val="0055357D"/>
    <w:rsid w:val="005959C7"/>
    <w:rsid w:val="00597354"/>
    <w:rsid w:val="005A20F0"/>
    <w:rsid w:val="005A2EBA"/>
    <w:rsid w:val="005C3CAB"/>
    <w:rsid w:val="005D703C"/>
    <w:rsid w:val="005F159D"/>
    <w:rsid w:val="00610059"/>
    <w:rsid w:val="00663F75"/>
    <w:rsid w:val="00664433"/>
    <w:rsid w:val="00670E4D"/>
    <w:rsid w:val="00677735"/>
    <w:rsid w:val="006852BA"/>
    <w:rsid w:val="00691733"/>
    <w:rsid w:val="006B2D97"/>
    <w:rsid w:val="006B6E32"/>
    <w:rsid w:val="006C4221"/>
    <w:rsid w:val="006E16B4"/>
    <w:rsid w:val="006E7BAD"/>
    <w:rsid w:val="006E7C33"/>
    <w:rsid w:val="006F50B7"/>
    <w:rsid w:val="00736655"/>
    <w:rsid w:val="00756826"/>
    <w:rsid w:val="007A6148"/>
    <w:rsid w:val="007A6B77"/>
    <w:rsid w:val="007B134F"/>
    <w:rsid w:val="007C7F70"/>
    <w:rsid w:val="007D3F8C"/>
    <w:rsid w:val="00832761"/>
    <w:rsid w:val="0084132F"/>
    <w:rsid w:val="00865650"/>
    <w:rsid w:val="00876129"/>
    <w:rsid w:val="00895E4D"/>
    <w:rsid w:val="008978DF"/>
    <w:rsid w:val="008B34E3"/>
    <w:rsid w:val="008C7F71"/>
    <w:rsid w:val="0092511B"/>
    <w:rsid w:val="00935F3B"/>
    <w:rsid w:val="00947BEE"/>
    <w:rsid w:val="009562E8"/>
    <w:rsid w:val="00966A88"/>
    <w:rsid w:val="00975D3A"/>
    <w:rsid w:val="00993551"/>
    <w:rsid w:val="009959C3"/>
    <w:rsid w:val="009A15AA"/>
    <w:rsid w:val="009B1C9D"/>
    <w:rsid w:val="009D301F"/>
    <w:rsid w:val="009F4ECA"/>
    <w:rsid w:val="00A002CB"/>
    <w:rsid w:val="00A10222"/>
    <w:rsid w:val="00A13113"/>
    <w:rsid w:val="00A13C32"/>
    <w:rsid w:val="00A14D3B"/>
    <w:rsid w:val="00A14F93"/>
    <w:rsid w:val="00A16F37"/>
    <w:rsid w:val="00A36D6C"/>
    <w:rsid w:val="00A70900"/>
    <w:rsid w:val="00A749E5"/>
    <w:rsid w:val="00AB4FAA"/>
    <w:rsid w:val="00AB5AD6"/>
    <w:rsid w:val="00AB5F73"/>
    <w:rsid w:val="00AD63D3"/>
    <w:rsid w:val="00AE41C9"/>
    <w:rsid w:val="00AE5207"/>
    <w:rsid w:val="00AF2090"/>
    <w:rsid w:val="00AF2533"/>
    <w:rsid w:val="00B025C7"/>
    <w:rsid w:val="00B051B0"/>
    <w:rsid w:val="00B36D80"/>
    <w:rsid w:val="00B37AA1"/>
    <w:rsid w:val="00B737A9"/>
    <w:rsid w:val="00B751B2"/>
    <w:rsid w:val="00BC3732"/>
    <w:rsid w:val="00BD03EF"/>
    <w:rsid w:val="00BE6E3C"/>
    <w:rsid w:val="00C0727D"/>
    <w:rsid w:val="00C104AE"/>
    <w:rsid w:val="00C23135"/>
    <w:rsid w:val="00C2444F"/>
    <w:rsid w:val="00C45B74"/>
    <w:rsid w:val="00C46B17"/>
    <w:rsid w:val="00C51FEE"/>
    <w:rsid w:val="00C5614A"/>
    <w:rsid w:val="00C704D8"/>
    <w:rsid w:val="00CE56C6"/>
    <w:rsid w:val="00D01BB1"/>
    <w:rsid w:val="00D206DF"/>
    <w:rsid w:val="00D37F34"/>
    <w:rsid w:val="00D52541"/>
    <w:rsid w:val="00D65617"/>
    <w:rsid w:val="00DB2D56"/>
    <w:rsid w:val="00E06BEE"/>
    <w:rsid w:val="00E427D5"/>
    <w:rsid w:val="00E87799"/>
    <w:rsid w:val="00EA35BA"/>
    <w:rsid w:val="00EB417F"/>
    <w:rsid w:val="00EB7DAC"/>
    <w:rsid w:val="00EC7C10"/>
    <w:rsid w:val="00ED1842"/>
    <w:rsid w:val="00ED2DFE"/>
    <w:rsid w:val="00F02CBF"/>
    <w:rsid w:val="00F11D98"/>
    <w:rsid w:val="00F24534"/>
    <w:rsid w:val="00F275A2"/>
    <w:rsid w:val="00F366E4"/>
    <w:rsid w:val="00F56C05"/>
    <w:rsid w:val="00F76DDB"/>
    <w:rsid w:val="00F7775A"/>
    <w:rsid w:val="00F87F53"/>
    <w:rsid w:val="00FA3B17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CD80"/>
  <w15:chartTrackingRefBased/>
  <w15:docId w15:val="{F392ED03-FFD1-494C-9AC2-BB1ED1E2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3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13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4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25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5C3CA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en.McMahon@2into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E" sz="1000"/>
              <a:t>Sports Capital</a:t>
            </a:r>
            <a:r>
              <a:rPr lang="en-IE" sz="1000" baseline="0"/>
              <a:t> Equipment-Only Local Allocations 2018 Per Capita</a:t>
            </a:r>
            <a:endParaRPr lang="en-IE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8DD-4429-9C64-329D84768DBF}"/>
              </c:ext>
            </c:extLst>
          </c:dPt>
          <c:dLbls>
            <c:dLbl>
              <c:idx val="6"/>
              <c:layout>
                <c:manualLayout>
                  <c:x val="-8.320332813312533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44-4EC3-9F7E-76F796B99570}"/>
                </c:ext>
              </c:extLst>
            </c:dLbl>
            <c:dLbl>
              <c:idx val="7"/>
              <c:layout>
                <c:manualLayout>
                  <c:x val="8.3203328133124952E-3"/>
                  <c:y val="-1.06094453400166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44-4EC3-9F7E-76F796B99570}"/>
                </c:ext>
              </c:extLst>
            </c:dLbl>
            <c:dLbl>
              <c:idx val="19"/>
              <c:layout>
                <c:manualLayout>
                  <c:x val="-1.2480499219968952E-2"/>
                  <c:y val="-1.06094453400166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44-4EC3-9F7E-76F796B99570}"/>
                </c:ext>
              </c:extLst>
            </c:dLbl>
            <c:dLbl>
              <c:idx val="22"/>
              <c:layout>
                <c:manualLayout>
                  <c:x val="-6.2402496099845522E-3"/>
                  <c:y val="1.06094453400166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044-4EC3-9F7E-76F796B99570}"/>
                </c:ext>
              </c:extLst>
            </c:dLbl>
            <c:dLbl>
              <c:idx val="23"/>
              <c:layout>
                <c:manualLayout>
                  <c:x val="8.320332813312533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044-4EC3-9F7E-76F796B995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'Per Capita'!$O$3:$O$28</c:f>
              <c:strCache>
                <c:ptCount val="26"/>
                <c:pt idx="0">
                  <c:v>Carlow</c:v>
                </c:pt>
                <c:pt idx="1">
                  <c:v>Cavan</c:v>
                </c:pt>
                <c:pt idx="2">
                  <c:v>Clare</c:v>
                </c:pt>
                <c:pt idx="3">
                  <c:v>Cork</c:v>
                </c:pt>
                <c:pt idx="4">
                  <c:v>Donegal</c:v>
                </c:pt>
                <c:pt idx="5">
                  <c:v>Dublin</c:v>
                </c:pt>
                <c:pt idx="6">
                  <c:v>Galway</c:v>
                </c:pt>
                <c:pt idx="7">
                  <c:v>Kerry</c:v>
                </c:pt>
                <c:pt idx="8">
                  <c:v>Kildare</c:v>
                </c:pt>
                <c:pt idx="9">
                  <c:v>Kilkenny</c:v>
                </c:pt>
                <c:pt idx="10">
                  <c:v>Laois</c:v>
                </c:pt>
                <c:pt idx="11">
                  <c:v>Leitrim</c:v>
                </c:pt>
                <c:pt idx="12">
                  <c:v>Limerick</c:v>
                </c:pt>
                <c:pt idx="13">
                  <c:v>Longford</c:v>
                </c:pt>
                <c:pt idx="14">
                  <c:v>Louth</c:v>
                </c:pt>
                <c:pt idx="15">
                  <c:v>Mayo</c:v>
                </c:pt>
                <c:pt idx="16">
                  <c:v>Meath</c:v>
                </c:pt>
                <c:pt idx="17">
                  <c:v>Monaghan</c:v>
                </c:pt>
                <c:pt idx="18">
                  <c:v>Offaly</c:v>
                </c:pt>
                <c:pt idx="19">
                  <c:v>Roscommon</c:v>
                </c:pt>
                <c:pt idx="20">
                  <c:v>Sligo</c:v>
                </c:pt>
                <c:pt idx="21">
                  <c:v>Tipperary</c:v>
                </c:pt>
                <c:pt idx="22">
                  <c:v>Waterford</c:v>
                </c:pt>
                <c:pt idx="23">
                  <c:v>Westmeath</c:v>
                </c:pt>
                <c:pt idx="24">
                  <c:v>Wexford</c:v>
                </c:pt>
                <c:pt idx="25">
                  <c:v>Wicklow</c:v>
                </c:pt>
              </c:strCache>
            </c:strRef>
          </c:cat>
          <c:val>
            <c:numRef>
              <c:f>'Per Capita'!$Q$3:$Q$28</c:f>
              <c:numCache>
                <c:formatCode>"€"#,##0.00</c:formatCode>
                <c:ptCount val="26"/>
                <c:pt idx="0">
                  <c:v>2.4613398440244501</c:v>
                </c:pt>
                <c:pt idx="1">
                  <c:v>3.0384241755933625</c:v>
                </c:pt>
                <c:pt idx="2">
                  <c:v>2.2612841596741209</c:v>
                </c:pt>
                <c:pt idx="3">
                  <c:v>1.9681598473293691</c:v>
                </c:pt>
                <c:pt idx="4">
                  <c:v>3.3318885371124178</c:v>
                </c:pt>
                <c:pt idx="5">
                  <c:v>0.52431979895484426</c:v>
                </c:pt>
                <c:pt idx="6">
                  <c:v>3.3474567732835254</c:v>
                </c:pt>
                <c:pt idx="7">
                  <c:v>3.3375804802751392</c:v>
                </c:pt>
                <c:pt idx="8">
                  <c:v>1.6158001653902851</c:v>
                </c:pt>
                <c:pt idx="9">
                  <c:v>2.8751713157046113</c:v>
                </c:pt>
                <c:pt idx="10">
                  <c:v>1.7836523135412117</c:v>
                </c:pt>
                <c:pt idx="11">
                  <c:v>0.86855573586318813</c:v>
                </c:pt>
                <c:pt idx="12">
                  <c:v>1.9180909086244671</c:v>
                </c:pt>
                <c:pt idx="13">
                  <c:v>3.3019107968585617</c:v>
                </c:pt>
                <c:pt idx="14">
                  <c:v>1.6687486421898761</c:v>
                </c:pt>
                <c:pt idx="15">
                  <c:v>2.6162198196265334</c:v>
                </c:pt>
                <c:pt idx="16">
                  <c:v>0.2697698980742807</c:v>
                </c:pt>
                <c:pt idx="17">
                  <c:v>1.336444791972111</c:v>
                </c:pt>
                <c:pt idx="18">
                  <c:v>1.0633906696938213</c:v>
                </c:pt>
                <c:pt idx="19">
                  <c:v>3.3354610808130887</c:v>
                </c:pt>
                <c:pt idx="20">
                  <c:v>3.3319905394064242</c:v>
                </c:pt>
                <c:pt idx="21">
                  <c:v>1.4833503600684412</c:v>
                </c:pt>
                <c:pt idx="22">
                  <c:v>3.3475416609282469</c:v>
                </c:pt>
                <c:pt idx="23">
                  <c:v>3.3269685704629941</c:v>
                </c:pt>
                <c:pt idx="24">
                  <c:v>2.0644060325135918</c:v>
                </c:pt>
                <c:pt idx="25">
                  <c:v>2.9339020537124805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DD-4429-9C64-329D84768DB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3390024"/>
        <c:axId val="473400520"/>
      </c:barChart>
      <c:catAx>
        <c:axId val="473390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3400520"/>
        <c:crosses val="autoZero"/>
        <c:auto val="1"/>
        <c:lblAlgn val="ctr"/>
        <c:lblOffset val="100"/>
        <c:noMultiLvlLbl val="0"/>
      </c:catAx>
      <c:valAx>
        <c:axId val="473400520"/>
        <c:scaling>
          <c:orientation val="minMax"/>
          <c:max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€&quot;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3390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E" sz="1000"/>
              <a:t>Dublin, Leinster,</a:t>
            </a:r>
            <a:r>
              <a:rPr lang="en-IE" sz="1000" baseline="0"/>
              <a:t> Ireland Per Capita Trends 2018-2014: Local Allocations</a:t>
            </a:r>
            <a:endParaRPr lang="en-IE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'Per Capita'!$B$53</c:f>
              <c:strCache>
                <c:ptCount val="1"/>
                <c:pt idx="0">
                  <c:v>Dublin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'Per Capita'!$C$37:$F$37</c:f>
              <c:numCache>
                <c:formatCode>0</c:formatCode>
                <c:ptCount val="4"/>
                <c:pt idx="0">
                  <c:v>2018</c:v>
                </c:pt>
                <c:pt idx="1">
                  <c:v>2017</c:v>
                </c:pt>
                <c:pt idx="2">
                  <c:v>2015</c:v>
                </c:pt>
                <c:pt idx="3">
                  <c:v>2014</c:v>
                </c:pt>
              </c:numCache>
            </c:numRef>
          </c:cat>
          <c:val>
            <c:numRef>
              <c:f>'Per Capita'!$C$53:$F$53</c:f>
              <c:numCache>
                <c:formatCode>"€"#,##0.00</c:formatCode>
                <c:ptCount val="4"/>
                <c:pt idx="0">
                  <c:v>0.52431979895484426</c:v>
                </c:pt>
                <c:pt idx="1">
                  <c:v>10.42</c:v>
                </c:pt>
                <c:pt idx="2">
                  <c:v>4.78</c:v>
                </c:pt>
                <c:pt idx="3">
                  <c:v>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DD-4275-98FB-7F7CADC3CF41}"/>
            </c:ext>
          </c:extLst>
        </c:ser>
        <c:ser>
          <c:idx val="1"/>
          <c:order val="1"/>
          <c:tx>
            <c:strRef>
              <c:f>'Per Capita'!$B$54</c:f>
              <c:strCache>
                <c:ptCount val="1"/>
                <c:pt idx="0">
                  <c:v>Leinster (excl Dublin)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'Per Capita'!$C$37:$F$37</c:f>
              <c:numCache>
                <c:formatCode>0</c:formatCode>
                <c:ptCount val="4"/>
                <c:pt idx="0">
                  <c:v>2018</c:v>
                </c:pt>
                <c:pt idx="1">
                  <c:v>2017</c:v>
                </c:pt>
                <c:pt idx="2">
                  <c:v>2015</c:v>
                </c:pt>
                <c:pt idx="3">
                  <c:v>2014</c:v>
                </c:pt>
              </c:numCache>
            </c:numRef>
          </c:cat>
          <c:val>
            <c:numRef>
              <c:f>'Per Capita'!$C$54:$F$54</c:f>
              <c:numCache>
                <c:formatCode>"€"#,##0.00</c:formatCode>
                <c:ptCount val="4"/>
                <c:pt idx="0">
                  <c:v>1.8988216409073815</c:v>
                </c:pt>
                <c:pt idx="1">
                  <c:v>12.89</c:v>
                </c:pt>
                <c:pt idx="2">
                  <c:v>8.8699999999999992</c:v>
                </c:pt>
                <c:pt idx="3">
                  <c:v>8.42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DD-4275-98FB-7F7CADC3CF41}"/>
            </c:ext>
          </c:extLst>
        </c:ser>
        <c:ser>
          <c:idx val="2"/>
          <c:order val="2"/>
          <c:tx>
            <c:strRef>
              <c:f>'Per Capita'!$B$55</c:f>
              <c:strCache>
                <c:ptCount val="1"/>
                <c:pt idx="0">
                  <c:v>Ireland (excl Leinster)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'Per Capita'!$C$37:$F$37</c:f>
              <c:numCache>
                <c:formatCode>0</c:formatCode>
                <c:ptCount val="4"/>
                <c:pt idx="0">
                  <c:v>2018</c:v>
                </c:pt>
                <c:pt idx="1">
                  <c:v>2017</c:v>
                </c:pt>
                <c:pt idx="2">
                  <c:v>2015</c:v>
                </c:pt>
                <c:pt idx="3">
                  <c:v>2014</c:v>
                </c:pt>
              </c:numCache>
            </c:numRef>
          </c:cat>
          <c:val>
            <c:numRef>
              <c:f>'Per Capita'!$C$55:$F$55</c:f>
              <c:numCache>
                <c:formatCode>"€"#,##0.00</c:formatCode>
                <c:ptCount val="4"/>
                <c:pt idx="0">
                  <c:v>2.4095762537496075</c:v>
                </c:pt>
                <c:pt idx="1">
                  <c:v>12.89</c:v>
                </c:pt>
                <c:pt idx="2">
                  <c:v>8.06</c:v>
                </c:pt>
                <c:pt idx="3">
                  <c:v>7.56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DD-4275-98FB-7F7CADC3CF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4912456"/>
        <c:axId val="454913112"/>
      </c:barChart>
      <c:catAx>
        <c:axId val="454912456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913112"/>
        <c:crosses val="autoZero"/>
        <c:auto val="1"/>
        <c:lblAlgn val="ctr"/>
        <c:lblOffset val="100"/>
        <c:noMultiLvlLbl val="0"/>
      </c:catAx>
      <c:valAx>
        <c:axId val="454913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€&quot;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912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McMahon</dc:creator>
  <cp:keywords/>
  <dc:description/>
  <cp:lastModifiedBy>Darren McMahon</cp:lastModifiedBy>
  <cp:revision>53</cp:revision>
  <cp:lastPrinted>2019-06-14T10:42:00Z</cp:lastPrinted>
  <dcterms:created xsi:type="dcterms:W3CDTF">2019-06-14T09:26:00Z</dcterms:created>
  <dcterms:modified xsi:type="dcterms:W3CDTF">2019-06-17T13:54:00Z</dcterms:modified>
</cp:coreProperties>
</file>